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672EB6" w:rsidRPr="00672EB6">
        <w:rPr>
          <w:sz w:val="28"/>
        </w:rPr>
        <w:t>Zwischen zwei Zahlen</w:t>
      </w:r>
      <w:r w:rsidR="00672EB6">
        <w:rPr>
          <w:sz w:val="28"/>
        </w:rPr>
        <w:t xml:space="preserve"> 2</w:t>
      </w:r>
    </w:p>
    <w:p w:rsidR="00694A63" w:rsidRPr="00694A63" w:rsidRDefault="00694A63">
      <w:pPr>
        <w:pStyle w:val="IQB-Teilaufgabentitel"/>
        <w:rPr>
          <w:b/>
        </w:rPr>
      </w:pPr>
      <w:r w:rsidRPr="00694A63">
        <w:rPr>
          <w:b/>
        </w:rPr>
        <w:t>Merkmal</w:t>
      </w:r>
      <w:r w:rsidR="00220FFD">
        <w:rPr>
          <w:b/>
        </w:rPr>
        <w:t>e</w:t>
      </w:r>
      <w:r w:rsidR="00F764C0">
        <w:rPr>
          <w:b/>
        </w:rPr>
        <w:t xml:space="preserve"> der Teilaufgabe 1</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672EB6" w:rsidRPr="0004089C" w:rsidTr="00672EB6">
        <w:tc>
          <w:tcPr>
            <w:tcW w:w="2466" w:type="dxa"/>
            <w:vAlign w:val="center"/>
          </w:tcPr>
          <w:p w:rsidR="00672EB6" w:rsidRPr="0004089C" w:rsidRDefault="00672EB6" w:rsidP="005C2F82">
            <w:pPr>
              <w:pStyle w:val="IQB-Merkmal"/>
              <w:rPr>
                <w:sz w:val="22"/>
              </w:rPr>
            </w:pPr>
            <w:r w:rsidRPr="0004089C">
              <w:rPr>
                <w:sz w:val="22"/>
              </w:rPr>
              <w:t>Leitidee</w:t>
            </w:r>
          </w:p>
        </w:tc>
        <w:tc>
          <w:tcPr>
            <w:tcW w:w="6604" w:type="dxa"/>
          </w:tcPr>
          <w:p w:rsidR="00672EB6" w:rsidRPr="0004089C" w:rsidRDefault="00672EB6" w:rsidP="005C2F82">
            <w:pPr>
              <w:pStyle w:val="IQB-Merkmalswert"/>
              <w:rPr>
                <w:sz w:val="22"/>
                <w:szCs w:val="22"/>
              </w:rPr>
            </w:pPr>
            <w:r w:rsidRPr="0004089C">
              <w:rPr>
                <w:sz w:val="22"/>
                <w:szCs w:val="22"/>
              </w:rPr>
              <w:t>Zahl (L1)</w:t>
            </w:r>
          </w:p>
        </w:tc>
      </w:tr>
      <w:tr w:rsidR="00672EB6" w:rsidRPr="0004089C" w:rsidTr="00672EB6">
        <w:tc>
          <w:tcPr>
            <w:tcW w:w="2466" w:type="dxa"/>
            <w:vAlign w:val="center"/>
          </w:tcPr>
          <w:p w:rsidR="00672EB6" w:rsidRPr="0004089C" w:rsidRDefault="00672EB6" w:rsidP="005C2F82">
            <w:pPr>
              <w:pStyle w:val="IQB-Merkmal"/>
              <w:rPr>
                <w:sz w:val="22"/>
              </w:rPr>
            </w:pPr>
            <w:r w:rsidRPr="0004089C">
              <w:rPr>
                <w:sz w:val="22"/>
              </w:rPr>
              <w:t>Allgemeine Komp</w:t>
            </w:r>
            <w:r w:rsidRPr="0004089C">
              <w:rPr>
                <w:sz w:val="22"/>
              </w:rPr>
              <w:t>e</w:t>
            </w:r>
            <w:r w:rsidRPr="0004089C">
              <w:rPr>
                <w:sz w:val="22"/>
              </w:rPr>
              <w:t>tenzen</w:t>
            </w:r>
          </w:p>
        </w:tc>
        <w:tc>
          <w:tcPr>
            <w:tcW w:w="6604" w:type="dxa"/>
          </w:tcPr>
          <w:p w:rsidR="00672EB6" w:rsidRPr="0004089C" w:rsidRDefault="00672EB6" w:rsidP="005C2F82">
            <w:pPr>
              <w:pStyle w:val="IQB-Merkmalswert"/>
              <w:rPr>
                <w:sz w:val="22"/>
                <w:szCs w:val="22"/>
              </w:rPr>
            </w:pPr>
            <w:r w:rsidRPr="0004089C">
              <w:rPr>
                <w:sz w:val="22"/>
                <w:szCs w:val="22"/>
              </w:rPr>
              <w:t>Probleme mathematisch lösen (K2)</w:t>
            </w:r>
          </w:p>
        </w:tc>
      </w:tr>
      <w:tr w:rsidR="00672EB6" w:rsidRPr="0004089C" w:rsidTr="00672EB6">
        <w:tc>
          <w:tcPr>
            <w:tcW w:w="2466" w:type="dxa"/>
            <w:vAlign w:val="center"/>
          </w:tcPr>
          <w:p w:rsidR="00672EB6" w:rsidRPr="0004089C" w:rsidRDefault="00672EB6" w:rsidP="005C2F82">
            <w:pPr>
              <w:pStyle w:val="IQB-Merkmal"/>
              <w:rPr>
                <w:sz w:val="22"/>
              </w:rPr>
            </w:pPr>
            <w:r w:rsidRPr="0004089C">
              <w:rPr>
                <w:sz w:val="22"/>
              </w:rPr>
              <w:t>Anforderungsbereich</w:t>
            </w:r>
          </w:p>
        </w:tc>
        <w:tc>
          <w:tcPr>
            <w:tcW w:w="6604" w:type="dxa"/>
          </w:tcPr>
          <w:p w:rsidR="00672EB6" w:rsidRPr="0004089C" w:rsidRDefault="00672EB6" w:rsidP="005C2F82">
            <w:pPr>
              <w:pStyle w:val="IQB-Merkmalswert"/>
              <w:rPr>
                <w:sz w:val="22"/>
                <w:szCs w:val="22"/>
              </w:rPr>
            </w:pPr>
            <w:r w:rsidRPr="0004089C">
              <w:rPr>
                <w:sz w:val="22"/>
                <w:szCs w:val="22"/>
              </w:rPr>
              <w:t>I</w:t>
            </w:r>
          </w:p>
        </w:tc>
      </w:tr>
      <w:tr w:rsidR="00672EB6" w:rsidRPr="0004089C" w:rsidTr="00672EB6">
        <w:tc>
          <w:tcPr>
            <w:tcW w:w="2466" w:type="dxa"/>
            <w:vAlign w:val="center"/>
          </w:tcPr>
          <w:p w:rsidR="00672EB6" w:rsidRPr="0004089C" w:rsidRDefault="00672EB6" w:rsidP="005C2F82">
            <w:pPr>
              <w:pStyle w:val="IQB-Merkmal"/>
              <w:rPr>
                <w:sz w:val="22"/>
              </w:rPr>
            </w:pPr>
            <w:r w:rsidRPr="0004089C">
              <w:rPr>
                <w:sz w:val="22"/>
              </w:rPr>
              <w:t>Kompetenzstufe</w:t>
            </w:r>
          </w:p>
        </w:tc>
        <w:tc>
          <w:tcPr>
            <w:tcW w:w="6604" w:type="dxa"/>
          </w:tcPr>
          <w:p w:rsidR="00672EB6" w:rsidRPr="0004089C" w:rsidRDefault="00672EB6" w:rsidP="005C2F82">
            <w:pPr>
              <w:pStyle w:val="IQB-Merkmalswert"/>
              <w:rPr>
                <w:sz w:val="22"/>
                <w:szCs w:val="22"/>
              </w:rPr>
            </w:pPr>
            <w:r w:rsidRPr="0004089C">
              <w:rPr>
                <w:sz w:val="22"/>
                <w:szCs w:val="22"/>
              </w:rPr>
              <w:t>2</w:t>
            </w:r>
          </w:p>
        </w:tc>
      </w:tr>
    </w:tbl>
    <w:p w:rsidR="00F764C0" w:rsidRPr="00694A63" w:rsidRDefault="00F764C0" w:rsidP="00F764C0">
      <w:pPr>
        <w:pStyle w:val="IQB-Teilaufgabentitel"/>
        <w:rPr>
          <w:b/>
        </w:rPr>
      </w:pPr>
      <w:r w:rsidRPr="00694A63">
        <w:rPr>
          <w:b/>
        </w:rPr>
        <w:t>Merkmal</w:t>
      </w:r>
      <w:r>
        <w:rPr>
          <w:b/>
        </w:rPr>
        <w:t>e der Teilaufgabe 2</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672EB6" w:rsidRPr="0004089C" w:rsidTr="00672EB6">
        <w:tc>
          <w:tcPr>
            <w:tcW w:w="2466" w:type="dxa"/>
            <w:vAlign w:val="center"/>
          </w:tcPr>
          <w:p w:rsidR="00672EB6" w:rsidRPr="0004089C" w:rsidRDefault="00672EB6" w:rsidP="005C2F82">
            <w:pPr>
              <w:pStyle w:val="IQB-Merkmal"/>
              <w:rPr>
                <w:sz w:val="22"/>
              </w:rPr>
            </w:pPr>
            <w:r w:rsidRPr="0004089C">
              <w:rPr>
                <w:sz w:val="22"/>
              </w:rPr>
              <w:t>Leitidee</w:t>
            </w:r>
          </w:p>
        </w:tc>
        <w:tc>
          <w:tcPr>
            <w:tcW w:w="6604" w:type="dxa"/>
          </w:tcPr>
          <w:p w:rsidR="00672EB6" w:rsidRPr="0004089C" w:rsidRDefault="00672EB6" w:rsidP="005C2F82">
            <w:pPr>
              <w:pStyle w:val="IQB-Merkmalswert"/>
              <w:rPr>
                <w:sz w:val="22"/>
                <w:szCs w:val="22"/>
              </w:rPr>
            </w:pPr>
            <w:r w:rsidRPr="0004089C">
              <w:rPr>
                <w:sz w:val="22"/>
                <w:szCs w:val="22"/>
              </w:rPr>
              <w:t>Zahl (L1)</w:t>
            </w:r>
          </w:p>
        </w:tc>
      </w:tr>
      <w:tr w:rsidR="00672EB6" w:rsidRPr="0004089C" w:rsidTr="00672EB6">
        <w:tc>
          <w:tcPr>
            <w:tcW w:w="2466" w:type="dxa"/>
            <w:vAlign w:val="center"/>
          </w:tcPr>
          <w:p w:rsidR="00672EB6" w:rsidRPr="0004089C" w:rsidRDefault="00672EB6" w:rsidP="005C2F82">
            <w:pPr>
              <w:pStyle w:val="IQB-Merkmal"/>
              <w:rPr>
                <w:sz w:val="22"/>
              </w:rPr>
            </w:pPr>
            <w:r w:rsidRPr="0004089C">
              <w:rPr>
                <w:sz w:val="22"/>
              </w:rPr>
              <w:t>Allgemeine Komp</w:t>
            </w:r>
            <w:r w:rsidRPr="0004089C">
              <w:rPr>
                <w:sz w:val="22"/>
              </w:rPr>
              <w:t>e</w:t>
            </w:r>
            <w:r w:rsidRPr="0004089C">
              <w:rPr>
                <w:sz w:val="22"/>
              </w:rPr>
              <w:t>tenzen</w:t>
            </w:r>
          </w:p>
        </w:tc>
        <w:tc>
          <w:tcPr>
            <w:tcW w:w="6604" w:type="dxa"/>
          </w:tcPr>
          <w:p w:rsidR="00672EB6" w:rsidRPr="0004089C" w:rsidRDefault="00672EB6" w:rsidP="005C2F82">
            <w:pPr>
              <w:pStyle w:val="IQB-Merkmalswert"/>
              <w:rPr>
                <w:sz w:val="22"/>
                <w:szCs w:val="22"/>
              </w:rPr>
            </w:pPr>
            <w:r w:rsidRPr="0004089C">
              <w:rPr>
                <w:sz w:val="22"/>
                <w:szCs w:val="22"/>
              </w:rPr>
              <w:t>Probleme mathematisch lösen (K2)</w:t>
            </w:r>
          </w:p>
        </w:tc>
      </w:tr>
      <w:tr w:rsidR="00672EB6" w:rsidRPr="0004089C" w:rsidTr="00672EB6">
        <w:tc>
          <w:tcPr>
            <w:tcW w:w="2466" w:type="dxa"/>
            <w:vAlign w:val="center"/>
          </w:tcPr>
          <w:p w:rsidR="00672EB6" w:rsidRPr="0004089C" w:rsidRDefault="00672EB6" w:rsidP="005C2F82">
            <w:pPr>
              <w:pStyle w:val="IQB-Merkmal"/>
              <w:rPr>
                <w:sz w:val="22"/>
              </w:rPr>
            </w:pPr>
            <w:r w:rsidRPr="0004089C">
              <w:rPr>
                <w:sz w:val="22"/>
              </w:rPr>
              <w:t>Anforderungsbereich</w:t>
            </w:r>
          </w:p>
        </w:tc>
        <w:tc>
          <w:tcPr>
            <w:tcW w:w="6604" w:type="dxa"/>
          </w:tcPr>
          <w:p w:rsidR="00672EB6" w:rsidRPr="0004089C" w:rsidRDefault="00672EB6" w:rsidP="005C2F82">
            <w:pPr>
              <w:pStyle w:val="IQB-Merkmalswert"/>
              <w:rPr>
                <w:sz w:val="22"/>
                <w:szCs w:val="22"/>
              </w:rPr>
            </w:pPr>
            <w:r w:rsidRPr="0004089C">
              <w:rPr>
                <w:sz w:val="22"/>
                <w:szCs w:val="22"/>
              </w:rPr>
              <w:t>I</w:t>
            </w:r>
          </w:p>
        </w:tc>
      </w:tr>
      <w:tr w:rsidR="00672EB6" w:rsidRPr="0004089C" w:rsidTr="00672EB6">
        <w:tc>
          <w:tcPr>
            <w:tcW w:w="2466" w:type="dxa"/>
            <w:vAlign w:val="center"/>
          </w:tcPr>
          <w:p w:rsidR="00672EB6" w:rsidRPr="0004089C" w:rsidRDefault="00672EB6" w:rsidP="005C2F82">
            <w:pPr>
              <w:pStyle w:val="IQB-Merkmal"/>
              <w:rPr>
                <w:sz w:val="22"/>
              </w:rPr>
            </w:pPr>
            <w:r w:rsidRPr="0004089C">
              <w:rPr>
                <w:sz w:val="22"/>
              </w:rPr>
              <w:t>Kompetenzstufe</w:t>
            </w:r>
          </w:p>
        </w:tc>
        <w:tc>
          <w:tcPr>
            <w:tcW w:w="6604" w:type="dxa"/>
          </w:tcPr>
          <w:p w:rsidR="00672EB6" w:rsidRPr="0004089C" w:rsidRDefault="00672EB6" w:rsidP="005C2F82">
            <w:pPr>
              <w:pStyle w:val="IQB-Merkmalswert"/>
              <w:rPr>
                <w:sz w:val="22"/>
                <w:szCs w:val="22"/>
              </w:rPr>
            </w:pPr>
            <w:r w:rsidRPr="0004089C">
              <w:rPr>
                <w:sz w:val="22"/>
                <w:szCs w:val="22"/>
              </w:rPr>
              <w:t>4</w:t>
            </w:r>
          </w:p>
        </w:tc>
      </w:tr>
    </w:tbl>
    <w:p w:rsidR="00694A63" w:rsidRPr="00694A63" w:rsidRDefault="00694A63" w:rsidP="00694A63">
      <w:pPr>
        <w:pStyle w:val="IQB-Teilaufgabentitel"/>
        <w:rPr>
          <w:b/>
        </w:rPr>
      </w:pPr>
      <w:r w:rsidRPr="00694A63">
        <w:rPr>
          <w:b/>
        </w:rPr>
        <w:t>Aufgabenbezogener Kommentar</w:t>
      </w:r>
    </w:p>
    <w:p w:rsidR="00672EB6" w:rsidRPr="00672EB6" w:rsidRDefault="00672EB6" w:rsidP="00672EB6">
      <w:pPr>
        <w:jc w:val="both"/>
        <w:rPr>
          <w:rFonts w:ascii="Arial" w:hAnsi="Arial"/>
          <w:sz w:val="22"/>
          <w:szCs w:val="22"/>
        </w:rPr>
      </w:pPr>
      <w:r w:rsidRPr="00672EB6">
        <w:rPr>
          <w:rFonts w:ascii="Arial" w:hAnsi="Arial"/>
          <w:sz w:val="22"/>
          <w:szCs w:val="22"/>
        </w:rPr>
        <w:t xml:space="preserve">Beide Teilaufgaben handeln von negativen Zahlen, somit ist die Aufgabe insgesamt der Leitidee </w:t>
      </w:r>
      <w:r w:rsidRPr="00672EB6">
        <w:rPr>
          <w:rFonts w:ascii="Arial" w:hAnsi="Arial"/>
          <w:i/>
          <w:sz w:val="22"/>
          <w:szCs w:val="22"/>
        </w:rPr>
        <w:t>Zahl</w:t>
      </w:r>
      <w:r w:rsidRPr="00672EB6">
        <w:rPr>
          <w:rFonts w:ascii="Arial" w:hAnsi="Arial"/>
          <w:sz w:val="22"/>
          <w:szCs w:val="22"/>
        </w:rPr>
        <w:t xml:space="preserve"> (L1) zugeordnet. </w:t>
      </w:r>
    </w:p>
    <w:p w:rsidR="00672EB6" w:rsidRPr="00672EB6" w:rsidRDefault="00672EB6" w:rsidP="00672EB6">
      <w:pPr>
        <w:jc w:val="both"/>
        <w:rPr>
          <w:rFonts w:ascii="Arial" w:hAnsi="Arial"/>
          <w:sz w:val="22"/>
          <w:szCs w:val="22"/>
        </w:rPr>
      </w:pPr>
    </w:p>
    <w:p w:rsidR="00672EB6" w:rsidRPr="00672EB6" w:rsidRDefault="00672EB6" w:rsidP="00672EB6">
      <w:pPr>
        <w:jc w:val="both"/>
        <w:rPr>
          <w:rFonts w:ascii="Arial" w:hAnsi="Arial"/>
          <w:sz w:val="22"/>
          <w:szCs w:val="22"/>
        </w:rPr>
      </w:pPr>
      <w:r w:rsidRPr="00672EB6">
        <w:rPr>
          <w:rFonts w:ascii="Arial" w:hAnsi="Arial"/>
          <w:sz w:val="22"/>
          <w:szCs w:val="22"/>
        </w:rPr>
        <w:t xml:space="preserve">In Teilaufgabe 1 müssen zwei unterschiedliche negative Zahlen genannt werden, die in einem bestimmten Intervall liegen. In Teilaufgabe 2 wird nach der Anzahl möglicher Zahlen gefragt, die in diesem Intervall liegen. Beide Teilaufgaben sind Schülerinnen und Schülern womöglich nicht geläufig und können nicht mit einem Standardverfahren aus dem Mathematikunterricht gelöst werden. Daher adressieren beide Teilaufgaben die Kompetenz </w:t>
      </w:r>
      <w:r w:rsidRPr="00672EB6">
        <w:rPr>
          <w:rFonts w:ascii="Arial" w:hAnsi="Arial"/>
          <w:i/>
          <w:sz w:val="22"/>
          <w:szCs w:val="22"/>
        </w:rPr>
        <w:t>Probleme mathematisch lösen</w:t>
      </w:r>
      <w:r w:rsidRPr="00672EB6">
        <w:rPr>
          <w:rFonts w:ascii="Arial" w:hAnsi="Arial"/>
          <w:sz w:val="22"/>
          <w:szCs w:val="22"/>
        </w:rPr>
        <w:t> (K2).</w:t>
      </w:r>
    </w:p>
    <w:p w:rsidR="00672EB6" w:rsidRPr="00672EB6" w:rsidRDefault="00672EB6" w:rsidP="00672EB6">
      <w:pPr>
        <w:jc w:val="both"/>
        <w:rPr>
          <w:rFonts w:ascii="Arial" w:hAnsi="Arial"/>
          <w:sz w:val="22"/>
          <w:szCs w:val="22"/>
        </w:rPr>
      </w:pPr>
    </w:p>
    <w:p w:rsidR="00672EB6" w:rsidRPr="00672EB6" w:rsidRDefault="00672EB6" w:rsidP="00672EB6">
      <w:pPr>
        <w:jc w:val="both"/>
        <w:rPr>
          <w:rFonts w:ascii="Arial" w:hAnsi="Arial"/>
          <w:sz w:val="22"/>
          <w:szCs w:val="22"/>
        </w:rPr>
      </w:pPr>
      <w:r w:rsidRPr="00672EB6">
        <w:rPr>
          <w:rFonts w:ascii="Arial" w:hAnsi="Arial"/>
          <w:sz w:val="22"/>
          <w:szCs w:val="22"/>
        </w:rPr>
        <w:t>Schülerinnen und Schüler können beide Teilaufgaben lösen, indem sie auf einfache und naheliegende Strategien zurückgreifen (z. B. Vorstellung des Intervalls auf einer Zahlengerade). Aus diesem Grund befinden sich beide Teilaufgaben lediglich im Anforderungsbereich I.</w:t>
      </w:r>
    </w:p>
    <w:p w:rsidR="00694A63" w:rsidRPr="00694A63" w:rsidRDefault="00694A63" w:rsidP="00694A63">
      <w:pPr>
        <w:pStyle w:val="IQB-Teilaufgabentitel"/>
        <w:rPr>
          <w:b/>
        </w:rPr>
      </w:pPr>
      <w:r w:rsidRPr="00694A63">
        <w:rPr>
          <w:b/>
        </w:rPr>
        <w:t>Anregungen für den Unterricht</w:t>
      </w:r>
    </w:p>
    <w:p w:rsidR="00672EB6" w:rsidRPr="00672EB6" w:rsidRDefault="00672EB6" w:rsidP="00672EB6">
      <w:pPr>
        <w:jc w:val="both"/>
        <w:rPr>
          <w:rFonts w:ascii="Arial" w:hAnsi="Arial"/>
          <w:sz w:val="22"/>
          <w:szCs w:val="22"/>
        </w:rPr>
      </w:pPr>
      <w:r w:rsidRPr="00672EB6">
        <w:rPr>
          <w:rFonts w:ascii="Arial" w:hAnsi="Arial"/>
          <w:sz w:val="22"/>
          <w:szCs w:val="22"/>
        </w:rPr>
        <w:t>Aufgrund der Ankreuzmöglichkeiten in Teilaufgabe 2 können eventuell vorhandene Fehlvorstellungen bei Schülerinnen und Schülern oder fehlerhafte Lösungsstrategien diagnostiziert werden. So deuten einige der falschen Ankreuzmöglichkeiten aus Teilaufgabe 2 darauf hin, dass das Verständnis von rationalen Zahlen (oder reellen Zahlen) noch nicht hinreichend ausgebildet ist.</w:t>
      </w:r>
    </w:p>
    <w:p w:rsidR="00672EB6" w:rsidRPr="00672EB6" w:rsidRDefault="00672EB6" w:rsidP="00672EB6">
      <w:pPr>
        <w:jc w:val="both"/>
        <w:rPr>
          <w:rFonts w:ascii="Arial" w:hAnsi="Arial"/>
          <w:sz w:val="22"/>
          <w:szCs w:val="22"/>
        </w:rPr>
      </w:pPr>
      <w:r w:rsidRPr="00672EB6">
        <w:rPr>
          <w:rFonts w:ascii="Arial" w:hAnsi="Arial"/>
          <w:sz w:val="22"/>
          <w:szCs w:val="22"/>
        </w:rPr>
        <w:t xml:space="preserve">Die Fehllösung „2“ hingegen kann ein Hinweis darauf sein, dass eventuell nur die Zahlenangabe aus Teilaufgabe 1 übernommen worden ist. Dort sollten zwei Zahlen genannt werden, die zwischen -4,5 und -3,5 liegen. Es ist dies eine häufig anzutreffende (Fehl-) Lösungsstrategie von Schülerinnen und Schülern. Schülerinnen und Schüler, die es gewohnt sind, dass alle in einer Aufgabenstellung vorkommenden Zahlen auch in irgendeiner Weise mathematisch verarbeitet werden müssen, können den Eindruck gewinnen, dass dies immer der Fall ist. Daher empfiehlt es sich regelmäßig auch Aufgaben mit redundanten Zahlen- oder Größenangaben zu stellen. In Aufgabentexten können beispielsweise Jahreszahlen eingefügt werden, die nicht der Lösung der eigentlichen Aufgabe dienen. Erst so sind Schülerinnen und Schüler gezwungen aus einer Menge an gegebenen Informationen die geeigneten auszuwählen. Im Unterricht kann auch die umgekehrte Strategie angewandt werden. Schülerinnen und Schüler müssen dann nach der Lektüre eines Aufgabentextes entscheiden, welche Informationen sie noch zur Beantwortung einer Frage benötigen. Beide Vorgehensweisen, Aufgabentexte mit redundanten oder fehlenden Zahlen- und Größenangaben, dienen der Förderung der Kompetenz </w:t>
      </w:r>
      <w:r w:rsidRPr="00672EB6">
        <w:rPr>
          <w:rFonts w:ascii="Arial" w:hAnsi="Arial"/>
          <w:i/>
          <w:sz w:val="22"/>
          <w:szCs w:val="22"/>
        </w:rPr>
        <w:t>Mathematisch kommunizieren</w:t>
      </w:r>
      <w:r w:rsidRPr="00672EB6">
        <w:rPr>
          <w:rFonts w:ascii="Arial" w:hAnsi="Arial"/>
          <w:sz w:val="22"/>
          <w:szCs w:val="22"/>
        </w:rPr>
        <w:t> (K6) und sollten helfen diese häufig auftretende (Fehl-)Lösungsstrategie von Schülerinnen und Schülern zu unterbinden. Die Ankreuzmöglichkeit „3“ wird vermutlich dann gewählt, wenn man den Hinweis „zwischen“ ignoriert und von 0,5-Schritten ausgeht. Also an die Zahlen -4,5; -4 und -3,5 denkt. Die Fehllösung „9“ deutet vermutlich darauf hin, dass an (in manchen Anwendungskontexten durchaus übliche) Zehntel-</w:t>
      </w:r>
      <w:r w:rsidRPr="00672EB6">
        <w:rPr>
          <w:rFonts w:ascii="Arial" w:hAnsi="Arial"/>
          <w:sz w:val="22"/>
          <w:szCs w:val="22"/>
        </w:rPr>
        <w:lastRenderedPageBreak/>
        <w:t>Schritte gedacht wurde. Die Schülerin oder der Schüler hat wahrscheinlich die Zahlen -4,4, -4,3 usw. im Sinn gehabt. Für die Ankreuzmöglichkeit „11“ gilt dasselbe. Hier kommt jedoch wieder hinzu, dass vermutlich nicht die Zahlen -4,5 und -3,5 ausgeschlossen worden sind.</w:t>
      </w:r>
    </w:p>
    <w:p w:rsidR="00694A63" w:rsidRPr="005B2F65" w:rsidRDefault="00694A63" w:rsidP="00672EB6">
      <w:pPr>
        <w:jc w:val="both"/>
        <w:rPr>
          <w:sz w:val="22"/>
          <w:szCs w:val="22"/>
        </w:rPr>
      </w:pPr>
      <w:bookmarkStart w:id="0" w:name="_GoBack"/>
      <w:bookmarkEnd w:id="0"/>
    </w:p>
    <w:sectPr w:rsidR="00694A63" w:rsidRPr="005B2F65" w:rsidSect="00DB65DC">
      <w:headerReference w:type="even" r:id="rId8"/>
      <w:headerReference w:type="default" r:id="rId9"/>
      <w:footerReference w:type="even" r:id="rId10"/>
      <w:footerReference w:type="default" r:id="rId11"/>
      <w:headerReference w:type="first" r:id="rId12"/>
      <w:footerReference w:type="first" r:id="rId13"/>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shelf Symbol 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embedRegular r:id="rId1" w:fontKey="{27AA11F7-23A8-4872-944C-8D2DE6D125B6}"/>
    <w:embedBold r:id="rId2" w:fontKey="{3EE2AD9A-D0CB-4FFE-B8FC-AB42FFFCA9CE}"/>
    <w:embedItalic r:id="rId3" w:fontKey="{626CD873-D133-49E7-A418-0AE7AAD42208}"/>
    <w:embedBoldItalic r:id="rId4" w:fontKey="{643EA95F-6A3C-4FE1-B650-DBDA8FE3F0C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7" name="Grafik 7"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0FDD437E"/>
    <w:multiLevelType w:val="hybridMultilevel"/>
    <w:tmpl w:val="1FE856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BAF4E41"/>
    <w:multiLevelType w:val="multilevel"/>
    <w:tmpl w:val="AFEA5452"/>
    <w:lvl w:ilvl="0">
      <w:start w:val="1"/>
      <w:numFmt w:val="bullet"/>
      <w:lvlText w:val=""/>
      <w:lvlJc w:val="left"/>
      <w:pPr>
        <w:ind w:left="720" w:hanging="360"/>
      </w:pPr>
      <w:rPr>
        <w:rFonts w:ascii="Symbol" w:hAnsi="Symbol" w:cs="Bookshelf Symbol 7" w:hint="default"/>
      </w:rPr>
    </w:lvl>
    <w:lvl w:ilvl="1">
      <w:start w:val="1"/>
      <w:numFmt w:val="bullet"/>
      <w:lvlText w:val="o"/>
      <w:lvlJc w:val="left"/>
      <w:pPr>
        <w:ind w:left="1440" w:hanging="360"/>
      </w:pPr>
      <w:rPr>
        <w:rFonts w:ascii="Courier New" w:hAnsi="Courier New" w:cs="Calibri" w:hint="default"/>
      </w:rPr>
    </w:lvl>
    <w:lvl w:ilvl="2">
      <w:start w:val="1"/>
      <w:numFmt w:val="bullet"/>
      <w:lvlText w:val=""/>
      <w:lvlJc w:val="left"/>
      <w:pPr>
        <w:ind w:left="2160" w:hanging="360"/>
      </w:pPr>
      <w:rPr>
        <w:rFonts w:ascii="Wingdings" w:hAnsi="Wingdings" w:cs="Bookshelf Symbol 7" w:hint="default"/>
      </w:rPr>
    </w:lvl>
    <w:lvl w:ilvl="3">
      <w:start w:val="1"/>
      <w:numFmt w:val="bullet"/>
      <w:lvlText w:val=""/>
      <w:lvlJc w:val="left"/>
      <w:pPr>
        <w:ind w:left="2880" w:hanging="360"/>
      </w:pPr>
      <w:rPr>
        <w:rFonts w:ascii="Symbol" w:hAnsi="Symbol" w:cs="Bookshelf Symbol 7" w:hint="default"/>
      </w:rPr>
    </w:lvl>
    <w:lvl w:ilvl="4">
      <w:start w:val="1"/>
      <w:numFmt w:val="bullet"/>
      <w:lvlText w:val="o"/>
      <w:lvlJc w:val="left"/>
      <w:pPr>
        <w:ind w:left="3600" w:hanging="360"/>
      </w:pPr>
      <w:rPr>
        <w:rFonts w:ascii="Courier New" w:hAnsi="Courier New" w:cs="Calibri" w:hint="default"/>
      </w:rPr>
    </w:lvl>
    <w:lvl w:ilvl="5">
      <w:start w:val="1"/>
      <w:numFmt w:val="bullet"/>
      <w:lvlText w:val=""/>
      <w:lvlJc w:val="left"/>
      <w:pPr>
        <w:ind w:left="4320" w:hanging="360"/>
      </w:pPr>
      <w:rPr>
        <w:rFonts w:ascii="Wingdings" w:hAnsi="Wingdings" w:cs="Bookshelf Symbol 7" w:hint="default"/>
      </w:rPr>
    </w:lvl>
    <w:lvl w:ilvl="6">
      <w:start w:val="1"/>
      <w:numFmt w:val="bullet"/>
      <w:lvlText w:val=""/>
      <w:lvlJc w:val="left"/>
      <w:pPr>
        <w:ind w:left="5040" w:hanging="360"/>
      </w:pPr>
      <w:rPr>
        <w:rFonts w:ascii="Symbol" w:hAnsi="Symbol" w:cs="Bookshelf Symbol 7" w:hint="default"/>
      </w:rPr>
    </w:lvl>
    <w:lvl w:ilvl="7">
      <w:start w:val="1"/>
      <w:numFmt w:val="bullet"/>
      <w:lvlText w:val="o"/>
      <w:lvlJc w:val="left"/>
      <w:pPr>
        <w:ind w:left="5760" w:hanging="360"/>
      </w:pPr>
      <w:rPr>
        <w:rFonts w:ascii="Courier New" w:hAnsi="Courier New" w:cs="Calibri" w:hint="default"/>
      </w:rPr>
    </w:lvl>
    <w:lvl w:ilvl="8">
      <w:start w:val="1"/>
      <w:numFmt w:val="bullet"/>
      <w:lvlText w:val=""/>
      <w:lvlJc w:val="left"/>
      <w:pPr>
        <w:ind w:left="6480" w:hanging="360"/>
      </w:pPr>
      <w:rPr>
        <w:rFonts w:ascii="Wingdings" w:hAnsi="Wingdings" w:cs="Bookshelf Symbol 7" w:hint="default"/>
      </w:rPr>
    </w:lvl>
  </w:abstractNum>
  <w:abstractNum w:abstractNumId="3"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4" w15:restartNumberingAfterBreak="0">
    <w:nsid w:val="24B731FC"/>
    <w:multiLevelType w:val="hybridMultilevel"/>
    <w:tmpl w:val="06C63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5F01A19"/>
    <w:multiLevelType w:val="hybridMultilevel"/>
    <w:tmpl w:val="6908D5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alibri"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alibri"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alibri"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61B2172"/>
    <w:multiLevelType w:val="hybridMultilevel"/>
    <w:tmpl w:val="90940226"/>
    <w:lvl w:ilvl="0" w:tplc="04070015">
      <w:start w:val="1"/>
      <w:numFmt w:val="decimal"/>
      <w:lvlText w:val="(%1)"/>
      <w:lvlJc w:val="left"/>
      <w:pPr>
        <w:ind w:left="720" w:hanging="360"/>
      </w:pPr>
      <w:rPr>
        <w:rFonts w:cs="Times New Roman"/>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7"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CA03909"/>
    <w:multiLevelType w:val="hybridMultilevel"/>
    <w:tmpl w:val="A932818E"/>
    <w:lvl w:ilvl="0" w:tplc="826024DC">
      <w:start w:val="1"/>
      <w:numFmt w:val="lowerLetter"/>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9" w15:restartNumberingAfterBreak="0">
    <w:nsid w:val="40013193"/>
    <w:multiLevelType w:val="hybridMultilevel"/>
    <w:tmpl w:val="21BC81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3"/>
  </w:num>
  <w:num w:numId="3">
    <w:abstractNumId w:val="0"/>
  </w:num>
  <w:num w:numId="4">
    <w:abstractNumId w:val="11"/>
  </w:num>
  <w:num w:numId="5">
    <w:abstractNumId w:val="7"/>
  </w:num>
  <w:num w:numId="6">
    <w:abstractNumId w:val="9"/>
  </w:num>
  <w:num w:numId="7">
    <w:abstractNumId w:val="4"/>
  </w:num>
  <w:num w:numId="8">
    <w:abstractNumId w:val="1"/>
  </w:num>
  <w:num w:numId="9">
    <w:abstractNumId w:val="6"/>
  </w:num>
  <w:num w:numId="10">
    <w:abstractNumId w:val="8"/>
  </w:num>
  <w:num w:numId="11">
    <w:abstractNumId w:val="2"/>
  </w:num>
  <w:num w:numId="1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9420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650E6"/>
    <w:rsid w:val="00083727"/>
    <w:rsid w:val="0009034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671D"/>
    <w:rsid w:val="00220FFD"/>
    <w:rsid w:val="002265B7"/>
    <w:rsid w:val="00226C04"/>
    <w:rsid w:val="00255EFD"/>
    <w:rsid w:val="0026784F"/>
    <w:rsid w:val="00274614"/>
    <w:rsid w:val="00296BA4"/>
    <w:rsid w:val="002D1B6E"/>
    <w:rsid w:val="002F756E"/>
    <w:rsid w:val="00304067"/>
    <w:rsid w:val="00304DCD"/>
    <w:rsid w:val="003375B2"/>
    <w:rsid w:val="00374ED9"/>
    <w:rsid w:val="003A1C8B"/>
    <w:rsid w:val="003A496B"/>
    <w:rsid w:val="003C0E87"/>
    <w:rsid w:val="003C7D61"/>
    <w:rsid w:val="003D7948"/>
    <w:rsid w:val="003F0014"/>
    <w:rsid w:val="003F7333"/>
    <w:rsid w:val="00453A6F"/>
    <w:rsid w:val="004B42DE"/>
    <w:rsid w:val="004B54F7"/>
    <w:rsid w:val="004D1D47"/>
    <w:rsid w:val="004D1DCE"/>
    <w:rsid w:val="004F70C4"/>
    <w:rsid w:val="00503B50"/>
    <w:rsid w:val="005222AD"/>
    <w:rsid w:val="0053290E"/>
    <w:rsid w:val="00540637"/>
    <w:rsid w:val="00566351"/>
    <w:rsid w:val="00590300"/>
    <w:rsid w:val="005967F1"/>
    <w:rsid w:val="005B26C9"/>
    <w:rsid w:val="005B2F65"/>
    <w:rsid w:val="005E2C46"/>
    <w:rsid w:val="005F046F"/>
    <w:rsid w:val="005F3A9E"/>
    <w:rsid w:val="005F4824"/>
    <w:rsid w:val="00606926"/>
    <w:rsid w:val="0061709D"/>
    <w:rsid w:val="00666933"/>
    <w:rsid w:val="00672EB6"/>
    <w:rsid w:val="00685869"/>
    <w:rsid w:val="00691281"/>
    <w:rsid w:val="00692E69"/>
    <w:rsid w:val="00694A63"/>
    <w:rsid w:val="00753D68"/>
    <w:rsid w:val="007569FC"/>
    <w:rsid w:val="00756CB3"/>
    <w:rsid w:val="00790FB0"/>
    <w:rsid w:val="007C729F"/>
    <w:rsid w:val="007D4262"/>
    <w:rsid w:val="007E1237"/>
    <w:rsid w:val="007E6CC0"/>
    <w:rsid w:val="00806273"/>
    <w:rsid w:val="008173A3"/>
    <w:rsid w:val="00830641"/>
    <w:rsid w:val="008336E4"/>
    <w:rsid w:val="00837274"/>
    <w:rsid w:val="0083794F"/>
    <w:rsid w:val="00861043"/>
    <w:rsid w:val="00871097"/>
    <w:rsid w:val="00883561"/>
    <w:rsid w:val="0088770C"/>
    <w:rsid w:val="008A2154"/>
    <w:rsid w:val="008B3D42"/>
    <w:rsid w:val="008C1B41"/>
    <w:rsid w:val="008C1EC7"/>
    <w:rsid w:val="009608A6"/>
    <w:rsid w:val="00983D6E"/>
    <w:rsid w:val="009A0AD0"/>
    <w:rsid w:val="009A16E7"/>
    <w:rsid w:val="009A48E1"/>
    <w:rsid w:val="009C235D"/>
    <w:rsid w:val="009C47FB"/>
    <w:rsid w:val="009D21A1"/>
    <w:rsid w:val="009E39E2"/>
    <w:rsid w:val="00A13FB9"/>
    <w:rsid w:val="00A20151"/>
    <w:rsid w:val="00A2321C"/>
    <w:rsid w:val="00A25A42"/>
    <w:rsid w:val="00A47EC4"/>
    <w:rsid w:val="00A5510B"/>
    <w:rsid w:val="00A95DDE"/>
    <w:rsid w:val="00AD2D34"/>
    <w:rsid w:val="00B8136A"/>
    <w:rsid w:val="00BC76A7"/>
    <w:rsid w:val="00BE7001"/>
    <w:rsid w:val="00C14B64"/>
    <w:rsid w:val="00C1611A"/>
    <w:rsid w:val="00C2374F"/>
    <w:rsid w:val="00C2385F"/>
    <w:rsid w:val="00C630C9"/>
    <w:rsid w:val="00C77D05"/>
    <w:rsid w:val="00C97AB9"/>
    <w:rsid w:val="00CA6E18"/>
    <w:rsid w:val="00CB3553"/>
    <w:rsid w:val="00CC0D5C"/>
    <w:rsid w:val="00CF32DF"/>
    <w:rsid w:val="00D44C7A"/>
    <w:rsid w:val="00D462AA"/>
    <w:rsid w:val="00D57617"/>
    <w:rsid w:val="00D67EE8"/>
    <w:rsid w:val="00D72D72"/>
    <w:rsid w:val="00D94169"/>
    <w:rsid w:val="00DA5629"/>
    <w:rsid w:val="00DB65DC"/>
    <w:rsid w:val="00DD3C5F"/>
    <w:rsid w:val="00DE1076"/>
    <w:rsid w:val="00DE3D52"/>
    <w:rsid w:val="00DF532B"/>
    <w:rsid w:val="00EA71E2"/>
    <w:rsid w:val="00EC34A6"/>
    <w:rsid w:val="00ED2D11"/>
    <w:rsid w:val="00F0154F"/>
    <w:rsid w:val="00F63DBE"/>
    <w:rsid w:val="00F64050"/>
    <w:rsid w:val="00F764C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4209"/>
    <o:shapelayout v:ext="edit">
      <o:idmap v:ext="edit" data="1"/>
    </o:shapelayout>
  </w:shapeDefaults>
  <w:decimalSymbol w:val=","/>
  <w:listSeparator w:val=";"/>
  <w14:docId w14:val="1BE4799B"/>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paragraph" w:styleId="berschrift5">
    <w:name w:val="heading 5"/>
    <w:basedOn w:val="Standard"/>
    <w:next w:val="Standard"/>
    <w:link w:val="berschrift5Zchn"/>
    <w:semiHidden/>
    <w:unhideWhenUsed/>
    <w:qFormat/>
    <w:rsid w:val="00C77D05"/>
    <w:pPr>
      <w:keepNext/>
      <w:keepLines/>
      <w:spacing w:before="40"/>
      <w:outlineLvl w:val="4"/>
    </w:pPr>
    <w:rPr>
      <w:rFonts w:asciiTheme="majorHAnsi" w:eastAsiaTheme="majorEastAsia" w:hAnsiTheme="majorHAnsi" w:cstheme="majorBidi"/>
      <w:color w:val="365F91"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link w:val="IQB-AnweisungenTextZchn"/>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34"/>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 w:type="paragraph" w:customStyle="1" w:styleId="Listenabsatz2">
    <w:name w:val="Listenabsatz2"/>
    <w:basedOn w:val="Standard"/>
    <w:rsid w:val="00220FFD"/>
    <w:pPr>
      <w:ind w:left="720"/>
      <w:contextualSpacing/>
    </w:pPr>
    <w:rPr>
      <w:rFonts w:ascii="Arial" w:hAnsi="Arial"/>
      <w:sz w:val="18"/>
    </w:rPr>
  </w:style>
  <w:style w:type="paragraph" w:styleId="Beschriftung">
    <w:name w:val="caption"/>
    <w:basedOn w:val="Standard"/>
    <w:next w:val="Standard"/>
    <w:uiPriority w:val="35"/>
    <w:qFormat/>
    <w:rsid w:val="00C1611A"/>
    <w:rPr>
      <w:rFonts w:ascii="Arial" w:hAnsi="Arial"/>
      <w:b/>
      <w:bCs/>
      <w:sz w:val="20"/>
      <w:szCs w:val="20"/>
    </w:rPr>
  </w:style>
  <w:style w:type="paragraph" w:customStyle="1" w:styleId="FormatvorlageFlietextBlockLinks0cmHngend15cm">
    <w:name w:val="Formatvorlage Fließtext + Block Links:  0 cm Hängend:  15 cm"/>
    <w:basedOn w:val="Flietext"/>
    <w:rsid w:val="00DD3C5F"/>
    <w:pPr>
      <w:ind w:left="851" w:hanging="851"/>
    </w:pPr>
    <w:rPr>
      <w:szCs w:val="20"/>
    </w:rPr>
  </w:style>
  <w:style w:type="character" w:customStyle="1" w:styleId="berschrift5Zchn">
    <w:name w:val="Überschrift 5 Zchn"/>
    <w:basedOn w:val="Absatz-Standardschriftart"/>
    <w:link w:val="berschrift5"/>
    <w:semiHidden/>
    <w:rsid w:val="00C77D05"/>
    <w:rPr>
      <w:rFonts w:asciiTheme="majorHAnsi" w:eastAsiaTheme="majorEastAsia" w:hAnsiTheme="majorHAnsi" w:cstheme="majorBidi"/>
      <w:color w:val="365F91" w:themeColor="accent1" w:themeShade="BF"/>
      <w:sz w:val="24"/>
      <w:szCs w:val="24"/>
    </w:rPr>
  </w:style>
  <w:style w:type="character" w:customStyle="1" w:styleId="IQB-AnweisungenTextZchn">
    <w:name w:val="IQB-Anweisungen Text Zchn"/>
    <w:link w:val="IQB-AnweisungenText"/>
    <w:rsid w:val="00AD2D34"/>
    <w:rPr>
      <w:rFonts w:asciiTheme="minorHAnsi" w:hAnsiTheme="minorHAnsi" w:cs="Arial"/>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977A396-D0C5-48FC-9051-F565BD0EC3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462</Words>
  <Characters>3102</Characters>
  <Application>Microsoft Office Word</Application>
  <DocSecurity>0</DocSecurity>
  <Lines>25</Lines>
  <Paragraphs>7</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3557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2025-07-24T07:49:00Z</dcterms:created>
  <dcterms:modified xsi:type="dcterms:W3CDTF">2025-07-24T07:49:00Z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